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139700</wp:posOffset>
                </wp:positionV>
                <wp:extent cx="923925" cy="9572625"/>
                <wp:effectExtent b="0" l="0" r="0" t="0"/>
                <wp:wrapNone/>
                <wp:docPr descr="Decorative" id="1539596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4025" y="0"/>
                          <a:ext cx="923925" cy="9572625"/>
                          <a:chOff x="4884025" y="0"/>
                          <a:chExt cx="923950" cy="7560000"/>
                        </a:xfrm>
                      </wpg:grpSpPr>
                      <wpg:grpSp>
                        <wpg:cNvGrpSpPr/>
                        <wpg:grpSpPr>
                          <a:xfrm>
                            <a:off x="4884038" y="0"/>
                            <a:ext cx="923925" cy="7560000"/>
                            <a:chOff x="4884025" y="0"/>
                            <a:chExt cx="923950" cy="75600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884025" y="0"/>
                              <a:ext cx="92395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84038" y="0"/>
                              <a:ext cx="923925" cy="7560000"/>
                              <a:chOff x="4884025" y="0"/>
                              <a:chExt cx="923950" cy="756000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4884025" y="0"/>
                                <a:ext cx="92395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884038" y="0"/>
                                <a:ext cx="923925" cy="7560000"/>
                                <a:chOff x="371515" y="548"/>
                                <a:chExt cx="1261745" cy="957326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371515" y="548"/>
                                  <a:ext cx="1261725" cy="9573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257300" y="57150"/>
                                  <a:ext cx="329184" cy="320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descr="Decorative" id="10" name="Shape 10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 amt="40000"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371515" y="548"/>
                                  <a:ext cx="1261745" cy="9573260"/>
                                </a:xfrm>
                                <a:custGeom>
                                  <a:rect b="b" l="l" r="r" t="t"/>
                                  <a:pathLst>
                                    <a:path extrusionOk="0" h="9576000" w="1259999">
                                      <a:moveTo>
                                        <a:pt x="0" y="0"/>
                                      </a:moveTo>
                                      <a:lnTo>
                                        <a:pt x="897598" y="0"/>
                                      </a:lnTo>
                                      <a:lnTo>
                                        <a:pt x="1259999" y="362401"/>
                                      </a:lnTo>
                                      <a:lnTo>
                                        <a:pt x="1259999" y="9576000"/>
                                      </a:lnTo>
                                      <a:lnTo>
                                        <a:pt x="0" y="95760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5854700</wp:posOffset>
                </wp:positionH>
                <wp:positionV relativeFrom="paragraph">
                  <wp:posOffset>139700</wp:posOffset>
                </wp:positionV>
                <wp:extent cx="923925" cy="9572625"/>
                <wp:effectExtent b="0" l="0" r="0" t="0"/>
                <wp:wrapNone/>
                <wp:docPr descr="Decorative" id="1539596183" name="image4.png"/>
                <a:graphic>
                  <a:graphicData uri="http://schemas.openxmlformats.org/drawingml/2006/picture">
                    <pic:pic>
                      <pic:nvPicPr>
                        <pic:cNvPr descr="Decorative"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572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83820</wp:posOffset>
                </wp:positionV>
                <wp:extent cx="6153150" cy="771525"/>
                <wp:effectExtent b="0" l="0" r="0" t="0"/>
                <wp:wrapSquare wrapText="bothSides" distB="45720" distT="45720" distL="114300" distR="114300"/>
                <wp:docPr id="15395961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750" y="3423150"/>
                          <a:ext cx="6124500" cy="71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ource Sans Pro" w:cs="Source Sans Pro" w:eastAsia="Source Sans Pro" w:hAnsi="Source Sans 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Requirements of a Methylene Chloride Workplace Chemical Protection Program (WCPP)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83820</wp:posOffset>
                </wp:positionV>
                <wp:extent cx="6153150" cy="771525"/>
                <wp:effectExtent b="0" l="0" r="0" t="0"/>
                <wp:wrapSquare wrapText="bothSides" distB="45720" distT="45720" distL="114300" distR="114300"/>
                <wp:docPr id="15395961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5.0" w:type="dxa"/>
        <w:jc w:val="left"/>
        <w:tblInd w:w="-6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5"/>
        <w:gridCol w:w="7560"/>
        <w:tblGridChange w:id="0">
          <w:tblGrid>
            <w:gridCol w:w="1805"/>
            <w:gridCol w:w="7560"/>
          </w:tblGrid>
        </w:tblGridChange>
      </w:tblGrid>
      <w:tr>
        <w:trPr>
          <w:cantSplit w:val="0"/>
          <w:trHeight w:val="659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The Environmental Protection Agency, under the Toxic Substances Control Act (TSCA), has ruled that methylene chloride (CAS# 75-09-2, also identified as dichloromethane or DCM) poses an unreasonable risk of injury to human health. This document outlines the requirements for a Workplace Chemical Protection Program for methylene chloride. WCPPs may be established at the lab, department, or institute level. </w:t>
            </w:r>
          </w:p>
          <w:p w:rsidR="00000000" w:rsidDel="00000000" w:rsidP="00000000" w:rsidRDefault="00000000" w:rsidRPr="00000000" w14:paraId="00000007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Definitions, Roles, and Responsibilities</w:t>
            </w:r>
          </w:p>
        </w:tc>
        <w:tc>
          <w:tcPr/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As needed monitoring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Exposure measurements taken when there is a change of use.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De minimis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The threshold concentration below which the regulatory restrictions are not required. For methylene chloride, this concentration is below 0.1% by weight.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Exposure Control Plan (ECP)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This documents actions taken to mitigate occupational exposures and comply with the WCPP.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Owners /operators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Anyone who owns, leases, operates, controls, or supervises a workplace.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Periodic monitoring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Dependent upon the results of the initial and/or repeat monitoring; the frequency for gathering new monitoring data ranges from 3 months to 5 years.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Potentially exposed person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Any person who may be exposed to a chemical or mixture in a workplace as a result of a condition of use of that chemical substance or mixture. This applies to users of the chemical and any other people that may enter a work area where exposure could occur.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Prohibited Uses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the EPA has established exposure limits for methylene chloride for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i w:val="1"/>
                <w:rtl w:val="0"/>
              </w:rPr>
              <w:t xml:space="preserve">some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conditions of use, including “use as a laboratory chemical” and “use as a bonding agent for solvent welding.” Nearly all other commercial and industrial uses, such as use as a solvent or paint remover, are prohibited. EPA has a full list of prohibited uses in its </w:t>
            </w:r>
            <w:hyperlink r:id="rId10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Guide to Complying with the 2024 Methylene Chloride Regulation</w:t>
              </w:r>
            </w:hyperlink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Regulated area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An area demarcated where airborne concentrations exceed, or there is a reasonable possibility they may exceed, the Existing Chemical Exposure Limit (ECEL) of 2 parts per million (ppm) or EPA Short Term Exposure Limit (STEL) of 16 ppm.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Retailer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An entity that distributes or makes available products to consumers.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Workplace Chemical Protection Program (WCPP)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A written program to protect potentially exposed persons in the workplace who are engaged in conditions of use that are not prohibited.</w:t>
            </w:r>
          </w:p>
          <w:p w:rsidR="00000000" w:rsidDel="00000000" w:rsidP="00000000" w:rsidRDefault="00000000" w:rsidRPr="00000000" w14:paraId="00000013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WCPP Elements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360" w:hanging="360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Occupational exposure limits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5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Action Level, 8-hour Time Weighted Average (TWA) - 1 ppm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5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Existing Chemical Exposure Limit (ECEL), 8-hour TWA - 2 ppm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5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Short Term Exposure Limit (STEL), 15-minute TWA - 16 ppm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360" w:hanging="360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Monitoring requirements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Initial monitoring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Periodic monitoring </w:t>
            </w:r>
          </w:p>
          <w:p w:rsidR="00000000" w:rsidDel="00000000" w:rsidP="00000000" w:rsidRDefault="00000000" w:rsidRPr="00000000" w14:paraId="0000001C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Required every 3 months if ECEL or STEL are exceeded during initial monitoring.</w:t>
            </w:r>
          </w:p>
          <w:p w:rsidR="00000000" w:rsidDel="00000000" w:rsidP="00000000" w:rsidRDefault="00000000" w:rsidRPr="00000000" w14:paraId="0000001D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Required every 6 months if Action Level is exceeded during initial monitoring.</w:t>
            </w:r>
          </w:p>
          <w:p w:rsidR="00000000" w:rsidDel="00000000" w:rsidP="00000000" w:rsidRDefault="00000000" w:rsidRPr="00000000" w14:paraId="0000001E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Required every 5 years or when conditions of use change if initial monitoring did not exceed any exposure limits listed in section 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Sampling requirements</w:t>
            </w:r>
          </w:p>
          <w:p w:rsidR="00000000" w:rsidDel="00000000" w:rsidP="00000000" w:rsidRDefault="00000000" w:rsidRPr="00000000" w14:paraId="00000020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Must use personal breathing zone sampling.</w:t>
            </w:r>
          </w:p>
          <w:p w:rsidR="00000000" w:rsidDel="00000000" w:rsidP="00000000" w:rsidRDefault="00000000" w:rsidRPr="00000000" w14:paraId="00000021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May use similar exposure groups provided the person monitored is the most exposed person. </w:t>
            </w:r>
          </w:p>
          <w:p w:rsidR="00000000" w:rsidDel="00000000" w:rsidP="00000000" w:rsidRDefault="00000000" w:rsidRPr="00000000" w14:paraId="00000022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All members of the similar exposure group must have an opportunity to observe the monitoring.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Notification of monitoring results to monitored person and potentially exposed persons (e.g., similar exposure group)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Within 15 working days after receipt of results.</w:t>
            </w:r>
          </w:p>
          <w:p w:rsidR="00000000" w:rsidDel="00000000" w:rsidP="00000000" w:rsidRDefault="00000000" w:rsidRPr="00000000" w14:paraId="00000025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Shared individually or publicly in writing.</w:t>
            </w:r>
          </w:p>
          <w:p w:rsidR="00000000" w:rsidDel="00000000" w:rsidP="00000000" w:rsidRDefault="00000000" w:rsidRPr="00000000" w14:paraId="00000026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Individual notices must be in a language the potentially exposed person understands.</w:t>
            </w:r>
          </w:p>
          <w:p w:rsidR="00000000" w:rsidDel="00000000" w:rsidP="00000000" w:rsidRDefault="00000000" w:rsidRPr="00000000" w14:paraId="00000027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Public notices must be posted in an accessible location in English and the most-represented non-English language.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360" w:hanging="360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Regulated areas (if exposure limits are reasonably expected to be exceeded)</w:t>
            </w:r>
          </w:p>
          <w:p w:rsidR="00000000" w:rsidDel="00000000" w:rsidP="00000000" w:rsidRDefault="00000000" w:rsidRPr="00000000" w14:paraId="00000029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Would require respiratory protection sufficient for methylene chloride (i.e., supplied air respirator).</w:t>
            </w:r>
          </w:p>
          <w:p w:rsidR="00000000" w:rsidDel="00000000" w:rsidP="00000000" w:rsidRDefault="00000000" w:rsidRPr="00000000" w14:paraId="0000002A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May need to be established for hazardous waste operations (e.g., bulking).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360" w:hanging="360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Exposure Control Plan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Describe consideration and/or implementation of the following types of controls </w:t>
            </w: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in order</w:t>
            </w: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Elimination</w:t>
            </w:r>
          </w:p>
          <w:p w:rsidR="00000000" w:rsidDel="00000000" w:rsidP="00000000" w:rsidRDefault="00000000" w:rsidRPr="00000000" w14:paraId="0000002E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Describe why use of DCM is essential.</w:t>
            </w:r>
          </w:p>
          <w:p w:rsidR="00000000" w:rsidDel="00000000" w:rsidP="00000000" w:rsidRDefault="00000000" w:rsidRPr="00000000" w14:paraId="0000002F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Substitution</w:t>
            </w:r>
          </w:p>
          <w:p w:rsidR="00000000" w:rsidDel="00000000" w:rsidP="00000000" w:rsidRDefault="00000000" w:rsidRPr="00000000" w14:paraId="00000030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Describe inadequacy of available substitutes.</w:t>
            </w:r>
          </w:p>
          <w:p w:rsidR="00000000" w:rsidDel="00000000" w:rsidP="00000000" w:rsidRDefault="00000000" w:rsidRPr="00000000" w14:paraId="00000031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Engineering Controls</w:t>
            </w:r>
          </w:p>
          <w:p w:rsidR="00000000" w:rsidDel="00000000" w:rsidP="00000000" w:rsidRDefault="00000000" w:rsidRPr="00000000" w14:paraId="00000032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Examples include fume hood, glove box, snorkel, and other closed systems.</w:t>
            </w:r>
          </w:p>
          <w:p w:rsidR="00000000" w:rsidDel="00000000" w:rsidP="00000000" w:rsidRDefault="00000000" w:rsidRPr="00000000" w14:paraId="00000033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Administrative Controls</w:t>
            </w:r>
          </w:p>
          <w:p w:rsidR="00000000" w:rsidDel="00000000" w:rsidP="00000000" w:rsidRDefault="00000000" w:rsidRPr="00000000" w14:paraId="00000034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Establish standard operating procedures.</w:t>
            </w:r>
          </w:p>
          <w:p w:rsidR="00000000" w:rsidDel="00000000" w:rsidP="00000000" w:rsidRDefault="00000000" w:rsidRPr="00000000" w14:paraId="00000035">
            <w:pPr>
              <w:numPr>
                <w:ilvl w:val="4"/>
                <w:numId w:val="3"/>
              </w:numPr>
              <w:ind w:left="180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Require closed containers outside of engineering controls.</w:t>
            </w:r>
          </w:p>
          <w:p w:rsidR="00000000" w:rsidDel="00000000" w:rsidP="00000000" w:rsidRDefault="00000000" w:rsidRPr="00000000" w14:paraId="00000036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Access controls and designated storage locations.</w:t>
            </w:r>
          </w:p>
          <w:p w:rsidR="00000000" w:rsidDel="00000000" w:rsidP="00000000" w:rsidRDefault="00000000" w:rsidRPr="00000000" w14:paraId="00000037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Procurement controls.</w:t>
            </w:r>
          </w:p>
          <w:p w:rsidR="00000000" w:rsidDel="00000000" w:rsidP="00000000" w:rsidRDefault="00000000" w:rsidRPr="00000000" w14:paraId="00000038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Cannot use worker rotation as an administrative control.</w:t>
            </w:r>
          </w:p>
          <w:p w:rsidR="00000000" w:rsidDel="00000000" w:rsidP="00000000" w:rsidRDefault="00000000" w:rsidRPr="00000000" w14:paraId="00000039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Can use direct-read monitoring for persons exposed less than 30 days per year.</w:t>
            </w:r>
          </w:p>
          <w:p w:rsidR="00000000" w:rsidDel="00000000" w:rsidP="00000000" w:rsidRDefault="00000000" w:rsidRPr="00000000" w14:paraId="0000003A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Training (see below).</w:t>
            </w:r>
          </w:p>
          <w:p w:rsidR="00000000" w:rsidDel="00000000" w:rsidP="00000000" w:rsidRDefault="00000000" w:rsidRPr="00000000" w14:paraId="0000003B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Personal Protective Equipment</w:t>
            </w:r>
          </w:p>
          <w:p w:rsidR="00000000" w:rsidDel="00000000" w:rsidP="00000000" w:rsidRDefault="00000000" w:rsidRPr="00000000" w14:paraId="0000003C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Respiratory protection is not expected to be relevant for research laboratories, but may be required for waste operations and emergency response.</w:t>
            </w:r>
          </w:p>
          <w:p w:rsidR="00000000" w:rsidDel="00000000" w:rsidP="00000000" w:rsidRDefault="00000000" w:rsidRPr="00000000" w14:paraId="0000003D">
            <w:pPr>
              <w:numPr>
                <w:ilvl w:val="4"/>
                <w:numId w:val="3"/>
              </w:numPr>
              <w:ind w:left="180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Supplied air</w:t>
            </w:r>
          </w:p>
          <w:p w:rsidR="00000000" w:rsidDel="00000000" w:rsidP="00000000" w:rsidRDefault="00000000" w:rsidRPr="00000000" w14:paraId="0000003E">
            <w:pPr>
              <w:numPr>
                <w:ilvl w:val="3"/>
                <w:numId w:val="3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Dermal protection (Gloves)</w:t>
            </w:r>
          </w:p>
          <w:p w:rsidR="00000000" w:rsidDel="00000000" w:rsidP="00000000" w:rsidRDefault="00000000" w:rsidRPr="00000000" w14:paraId="0000003F">
            <w:pPr>
              <w:numPr>
                <w:ilvl w:val="4"/>
                <w:numId w:val="3"/>
              </w:numPr>
              <w:ind w:left="180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Polyvinyl alcohol</w:t>
            </w:r>
          </w:p>
          <w:p w:rsidR="00000000" w:rsidDel="00000000" w:rsidP="00000000" w:rsidRDefault="00000000" w:rsidRPr="00000000" w14:paraId="00000040">
            <w:pPr>
              <w:numPr>
                <w:ilvl w:val="4"/>
                <w:numId w:val="3"/>
              </w:numPr>
              <w:ind w:left="180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LLDPE</w:t>
            </w:r>
          </w:p>
          <w:p w:rsidR="00000000" w:rsidDel="00000000" w:rsidP="00000000" w:rsidRDefault="00000000" w:rsidRPr="00000000" w14:paraId="00000041">
            <w:pPr>
              <w:numPr>
                <w:ilvl w:val="4"/>
                <w:numId w:val="3"/>
              </w:numPr>
              <w:ind w:left="180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Viton</w:t>
            </w:r>
          </w:p>
          <w:p w:rsidR="00000000" w:rsidDel="00000000" w:rsidP="00000000" w:rsidRDefault="00000000" w:rsidRPr="00000000" w14:paraId="00000042">
            <w:pPr>
              <w:numPr>
                <w:ilvl w:val="4"/>
                <w:numId w:val="3"/>
              </w:numPr>
              <w:ind w:left="180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Silver Shield</w:t>
            </w:r>
          </w:p>
          <w:p w:rsidR="00000000" w:rsidDel="00000000" w:rsidP="00000000" w:rsidRDefault="00000000" w:rsidRPr="00000000" w14:paraId="00000043">
            <w:pPr>
              <w:numPr>
                <w:ilvl w:val="4"/>
                <w:numId w:val="3"/>
              </w:numPr>
              <w:ind w:left="180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Nitrile-double gloved</w:t>
            </w:r>
          </w:p>
          <w:p w:rsidR="00000000" w:rsidDel="00000000" w:rsidP="00000000" w:rsidRDefault="00000000" w:rsidRPr="00000000" w14:paraId="00000044">
            <w:pPr>
              <w:ind w:left="180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ind w:left="360" w:hanging="360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Training prior to initial job assignment</w:t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Training consistent with OSHA’s Methylene Chloride Standard 1910.1052(l)(1) through (6)</w:t>
            </w:r>
          </w:p>
          <w:p w:rsidR="00000000" w:rsidDel="00000000" w:rsidP="00000000" w:rsidRDefault="00000000" w:rsidRPr="00000000" w14:paraId="00000047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Understandable to potentially exposed persons.</w:t>
            </w:r>
          </w:p>
          <w:p w:rsidR="00000000" w:rsidDel="00000000" w:rsidP="00000000" w:rsidRDefault="00000000" w:rsidRPr="00000000" w14:paraId="00000048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Requirements of OSHA’s Methylene Chloride Standard.</w:t>
            </w:r>
          </w:p>
          <w:p w:rsidR="00000000" w:rsidDel="00000000" w:rsidP="00000000" w:rsidRDefault="00000000" w:rsidRPr="00000000" w14:paraId="00000049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Where exposures may be above the 8-hour TWA PEL or STEL.</w:t>
            </w:r>
          </w:p>
          <w:p w:rsidR="00000000" w:rsidDel="00000000" w:rsidP="00000000" w:rsidRDefault="00000000" w:rsidRPr="00000000" w14:paraId="0000004A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Repeated as necessary to maintain requisite knowledge of safe use and handling.</w:t>
            </w:r>
          </w:p>
          <w:p w:rsidR="00000000" w:rsidDel="00000000" w:rsidP="00000000" w:rsidRDefault="00000000" w:rsidRPr="00000000" w14:paraId="0000004B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Updated as conditions of use change.</w:t>
            </w:r>
          </w:p>
          <w:p w:rsidR="00000000" w:rsidDel="00000000" w:rsidP="00000000" w:rsidRDefault="00000000" w:rsidRPr="00000000" w14:paraId="0000004C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Covers glove selection, use, and disposal if dermal exposure is expected to occur.</w:t>
            </w:r>
          </w:p>
          <w:p w:rsidR="00000000" w:rsidDel="00000000" w:rsidP="00000000" w:rsidRDefault="00000000" w:rsidRPr="00000000" w14:paraId="0000004D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Covers respirators consistent with OSHA’s Respiratory Protection Standard 1910.134(k) if respiratory protection is required.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360" w:hanging="360"/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Recordkeeping</w:t>
            </w:r>
          </w:p>
          <w:p w:rsidR="00000000" w:rsidDel="00000000" w:rsidP="00000000" w:rsidRDefault="00000000" w:rsidRPr="00000000" w14:paraId="0000004F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Owners/operators must maintain compliance records for 5 years.</w:t>
            </w:r>
          </w:p>
          <w:p w:rsidR="00000000" w:rsidDel="00000000" w:rsidP="00000000" w:rsidRDefault="00000000" w:rsidRPr="00000000" w14:paraId="00000050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Bills of lading, invoices, and receipts</w:t>
            </w:r>
          </w:p>
          <w:p w:rsidR="00000000" w:rsidDel="00000000" w:rsidP="00000000" w:rsidRDefault="00000000" w:rsidRPr="00000000" w14:paraId="00000051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Exposure control and monitoring records</w:t>
            </w:r>
          </w:p>
          <w:p w:rsidR="00000000" w:rsidDel="00000000" w:rsidP="00000000" w:rsidRDefault="00000000" w:rsidRPr="00000000" w14:paraId="00000052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May be electronic or hard copy.</w:t>
            </w:r>
          </w:p>
          <w:p w:rsidR="00000000" w:rsidDel="00000000" w:rsidP="00000000" w:rsidRDefault="00000000" w:rsidRPr="00000000" w14:paraId="00000053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May be stored centrally or dispersed across departments or research groups.</w:t>
            </w:r>
          </w:p>
          <w:p w:rsidR="00000000" w:rsidDel="00000000" w:rsidP="00000000" w:rsidRDefault="00000000" w:rsidRPr="00000000" w14:paraId="00000054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Prescriptive and detailed requirements of recordkeeping of monitoring events.</w:t>
            </w:r>
          </w:p>
          <w:p w:rsidR="00000000" w:rsidDel="00000000" w:rsidP="00000000" w:rsidRDefault="00000000" w:rsidRPr="00000000" w14:paraId="00000055">
            <w:pPr>
              <w:numPr>
                <w:ilvl w:val="1"/>
                <w:numId w:val="3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Users must maintain records that prove compliance with the rule.</w:t>
            </w:r>
          </w:p>
          <w:p w:rsidR="00000000" w:rsidDel="00000000" w:rsidP="00000000" w:rsidRDefault="00000000" w:rsidRPr="00000000" w14:paraId="00000056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Laboratory inspections</w:t>
            </w:r>
          </w:p>
          <w:p w:rsidR="00000000" w:rsidDel="00000000" w:rsidP="00000000" w:rsidRDefault="00000000" w:rsidRPr="00000000" w14:paraId="00000057">
            <w:pPr>
              <w:numPr>
                <w:ilvl w:val="2"/>
                <w:numId w:val="3"/>
              </w:numPr>
              <w:ind w:left="108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Ventilation device (e.g., fume hood) maintenance and certification</w:t>
            </w:r>
          </w:p>
          <w:p w:rsidR="00000000" w:rsidDel="00000000" w:rsidP="00000000" w:rsidRDefault="00000000" w:rsidRPr="00000000" w14:paraId="0000005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Timeline for Compliance</w:t>
            </w:r>
          </w:p>
        </w:tc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By May 5, 2025, complete initial monitoring.</w:t>
            </w:r>
          </w:p>
          <w:p w:rsidR="00000000" w:rsidDel="00000000" w:rsidP="00000000" w:rsidRDefault="00000000" w:rsidRPr="00000000" w14:paraId="0000005B">
            <w:pPr>
              <w:numPr>
                <w:ilvl w:val="1"/>
                <w:numId w:val="4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Within 15 days of monitoring, notify monitored persons and similar exposure group(s) of the results.</w:t>
            </w:r>
          </w:p>
          <w:p w:rsidR="00000000" w:rsidDel="00000000" w:rsidP="00000000" w:rsidRDefault="00000000" w:rsidRPr="00000000" w14:paraId="0000005C">
            <w:pPr>
              <w:numPr>
                <w:ilvl w:val="1"/>
                <w:numId w:val="4"/>
              </w:numPr>
              <w:ind w:left="144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Within 90 days of monitoring, provide any required PPE and establish any regulated areas.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By October 30, 2025, write and implement the Exposure Control Plan(s) for uses that may continue under a WCPP.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By April 28, 2026, cease use and dispose of methylene chloride for prohibited uses.</w:t>
            </w:r>
          </w:p>
          <w:p w:rsidR="00000000" w:rsidDel="00000000" w:rsidP="00000000" w:rsidRDefault="00000000" w:rsidRPr="00000000" w14:paraId="0000005F">
            <w:pPr>
              <w:ind w:left="720" w:firstLine="0"/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Source Sans Pro" w:cs="Source Sans Pro" w:eastAsia="Source Sans Pro" w:hAnsi="Source Sans Pro"/>
                <w:b w:val="1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rtl w:val="0"/>
              </w:rPr>
              <w:t xml:space="preserve">References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ind w:left="720" w:hanging="360"/>
              <w:rPr>
                <w:rFonts w:ascii="Source Sans Pro" w:cs="Source Sans Pro" w:eastAsia="Source Sans Pro" w:hAnsi="Source Sans Pro"/>
                <w:u w:val="none"/>
              </w:rPr>
            </w:pPr>
            <w:hyperlink r:id="rId11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A Guide to Complying with the 2024 Methylene Chloride Regulation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hyperlink r:id="rId12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Ansell Chemical Glove Resistance Guide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hyperlink r:id="rId13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EPA Fact Sheet: Methylene Chloride or Dichloromethane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720" w:hanging="360"/>
              <w:rPr>
                <w:rFonts w:ascii="Source Sans Pro" w:cs="Source Sans Pro" w:eastAsia="Source Sans Pro" w:hAnsi="Source Sans Pro"/>
                <w:u w:val="none"/>
              </w:rPr>
            </w:pPr>
            <w:hyperlink r:id="rId14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FACT SHEET: 2024 Final Risk Management Rule for Methylene Chloride under TSCA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720" w:hanging="360"/>
              <w:rPr>
                <w:rFonts w:ascii="Source Sans Pro" w:cs="Source Sans Pro" w:eastAsia="Source Sans Pro" w:hAnsi="Source Sans Pro"/>
                <w:u w:val="none"/>
              </w:rPr>
            </w:pPr>
            <w:hyperlink r:id="rId15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Methylene Chloride Hazards for Bathtub Refinishers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720" w:hanging="360"/>
              <w:rPr>
                <w:rFonts w:ascii="Source Sans Pro" w:cs="Source Sans Pro" w:eastAsia="Source Sans Pro" w:hAnsi="Source Sans Pro"/>
              </w:rPr>
            </w:pPr>
            <w:hyperlink r:id="rId16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Preliminary Information on Manufacturing, Processing, Distribution, Use, and Disposal: Methylene Chloride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720" w:hanging="360"/>
              <w:rPr>
                <w:rFonts w:ascii="Source Sans Pro" w:cs="Source Sans Pro" w:eastAsia="Source Sans Pro" w:hAnsi="Source Sans Pro"/>
                <w:u w:val="none"/>
              </w:rPr>
            </w:pPr>
            <w:hyperlink r:id="rId17">
              <w:r w:rsidDel="00000000" w:rsidR="00000000" w:rsidRPr="00000000">
                <w:rPr>
                  <w:rFonts w:ascii="Source Sans Pro" w:cs="Source Sans Pro" w:eastAsia="Source Sans Pro" w:hAnsi="Source Sans Pro"/>
                  <w:color w:val="0096d2"/>
                  <w:u w:val="single"/>
                  <w:rtl w:val="0"/>
                </w:rPr>
                <w:t xml:space="preserve">Risk Evaluation for Methylene Chloride</w:t>
              </w:r>
            </w:hyperlink>
            <w:r w:rsidDel="00000000" w:rsidR="00000000" w:rsidRPr="00000000">
              <w:rPr>
                <w:rFonts w:ascii="Source Sans Pro" w:cs="Source Sans Pro" w:eastAsia="Source Sans Pro" w:hAnsi="Source Sans Pro"/>
                <w:rtl w:val="0"/>
              </w:rPr>
              <w:t xml:space="preserve"> - See Appendix F for details on glove materials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Source Sans Pro" w:cs="Source Sans Pro" w:eastAsia="Source Sans Pro" w:hAnsi="Source Sans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5381625</wp:posOffset>
            </wp:positionH>
            <wp:positionV relativeFrom="paragraph">
              <wp:posOffset>112871</wp:posOffset>
            </wp:positionV>
            <wp:extent cx="800100" cy="520065"/>
            <wp:effectExtent b="0" l="0" r="0" t="0"/>
            <wp:wrapNone/>
            <wp:docPr id="153959618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200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C">
      <w:pPr>
        <w:rPr>
          <w:rFonts w:ascii="Source Sans Pro" w:cs="Source Sans Pro" w:eastAsia="Source Sans Pro" w:hAnsi="Source Sans Pro"/>
          <w:i w:val="1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rtl w:val="0"/>
        </w:rPr>
        <w:t xml:space="preserve">Content developed by CSHEMA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5607050</wp:posOffset>
            </wp:positionH>
            <wp:positionV relativeFrom="paragraph">
              <wp:posOffset>6947533</wp:posOffset>
            </wp:positionV>
            <wp:extent cx="1003300" cy="652145"/>
            <wp:effectExtent b="0" l="0" r="0" t="0"/>
            <wp:wrapNone/>
            <wp:docPr id="153959618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52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20" w:type="default"/>
      <w:pgSz w:h="15840" w:w="12240" w:orient="portrait"/>
      <w:pgMar w:bottom="270" w:top="0" w:left="1440" w:right="3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ind w:right="-3586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re Franklin" w:cs="Libre Franklin" w:eastAsia="Libre Franklin" w:hAnsi="Libre Franklin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Libre Franklin" w:cs="Libre Franklin" w:eastAsia="Libre Franklin" w:hAnsi="Libre Franklin"/>
      <w:color w:val="b5a63a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Libre Franklin" w:cs="Libre Franklin" w:eastAsia="Libre Franklin" w:hAnsi="Libre Franklin"/>
      <w:color w:val="d9d08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Libre Franklin" w:cs="Libre Franklin" w:eastAsia="Libre Franklin" w:hAnsi="Libre Franklin"/>
      <w:color w:val="d9d08b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Libre Franklin" w:cs="Libre Franklin" w:eastAsia="Libre Franklin" w:hAnsi="Libre Franklin"/>
      <w:color w:val="d9d08b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Libre Franklin" w:cs="Libre Franklin" w:eastAsia="Libre Franklin" w:hAnsi="Libre Franklin"/>
      <w:smallCaps w:val="1"/>
      <w:color w:val="d9d08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Libre Franklin" w:cs="Libre Franklin" w:eastAsia="Libre Franklin" w:hAnsi="Libre Franklin"/>
      <w:i w:val="1"/>
      <w:smallCaps w:val="1"/>
      <w:color w:val="b5a63a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Libre Franklin" w:cs="Libre Franklin" w:eastAsia="Libre Franklin" w:hAnsi="Libre Franklin"/>
      <w:smallCaps w:val="1"/>
      <w:color w:val="1f497d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400" w:line="240" w:lineRule="auto"/>
    </w:pPr>
    <w:rPr>
      <w:rFonts w:ascii="Libre Franklin" w:cs="Libre Franklin" w:eastAsia="Libre Franklin" w:hAnsi="Libre Franklin"/>
      <w:color w:val="b5a63a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Libre Franklin" w:cs="Libre Franklin" w:eastAsia="Libre Franklin" w:hAnsi="Libre Franklin"/>
      <w:color w:val="d9d08b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Libre Franklin" w:cs="Libre Franklin" w:eastAsia="Libre Franklin" w:hAnsi="Libre Franklin"/>
      <w:color w:val="d9d08b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Libre Franklin" w:cs="Libre Franklin" w:eastAsia="Libre Franklin" w:hAnsi="Libre Franklin"/>
      <w:color w:val="d9d08b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Libre Franklin" w:cs="Libre Franklin" w:eastAsia="Libre Franklin" w:hAnsi="Libre Franklin"/>
      <w:smallCaps w:val="1"/>
      <w:color w:val="d9d08b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Libre Franklin" w:cs="Libre Franklin" w:eastAsia="Libre Franklin" w:hAnsi="Libre Franklin"/>
      <w:i w:val="1"/>
      <w:smallCaps w:val="1"/>
      <w:color w:val="b5a63a"/>
    </w:rPr>
  </w:style>
  <w:style w:type="paragraph" w:styleId="Title">
    <w:name w:val="Title"/>
    <w:basedOn w:val="Normal"/>
    <w:next w:val="Normal"/>
    <w:pPr>
      <w:spacing w:after="0" w:line="204" w:lineRule="auto"/>
    </w:pPr>
    <w:rPr>
      <w:rFonts w:ascii="Libre Franklin" w:cs="Libre Franklin" w:eastAsia="Libre Franklin" w:hAnsi="Libre Franklin"/>
      <w:smallCaps w:val="1"/>
      <w:color w:val="1f497d"/>
      <w:sz w:val="72"/>
      <w:szCs w:val="72"/>
    </w:rPr>
  </w:style>
  <w:style w:type="paragraph" w:styleId="Normal" w:default="1">
    <w:name w:val="Normal"/>
    <w:qFormat w:val="1"/>
    <w:rsid w:val="008F0B2F"/>
  </w:style>
  <w:style w:type="paragraph" w:styleId="Heading1">
    <w:name w:val="heading 1"/>
    <w:basedOn w:val="Normal"/>
    <w:next w:val="Normal"/>
    <w:link w:val="Heading1Char"/>
    <w:uiPriority w:val="9"/>
    <w:qFormat w:val="1"/>
    <w:rsid w:val="008F0B2F"/>
    <w:pPr>
      <w:keepNext w:val="1"/>
      <w:keepLines w:val="1"/>
      <w:spacing w:after="40" w:before="400" w:line="240" w:lineRule="auto"/>
      <w:outlineLvl w:val="0"/>
    </w:pPr>
    <w:rPr>
      <w:rFonts w:asciiTheme="majorHAnsi" w:cstheme="majorBidi" w:eastAsiaTheme="majorEastAsia" w:hAnsiTheme="majorHAnsi"/>
      <w:color w:val="b5a63a" w:themeColor="accent1" w:themeShade="0000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F0B2F"/>
    <w:pPr>
      <w:keepNext w:val="1"/>
      <w:keepLines w:val="1"/>
      <w:spacing w:after="0" w:before="40" w:line="240" w:lineRule="auto"/>
      <w:outlineLvl w:val="1"/>
    </w:pPr>
    <w:rPr>
      <w:rFonts w:asciiTheme="majorHAnsi" w:cstheme="majorBidi" w:eastAsiaTheme="majorEastAsia" w:hAnsiTheme="majorHAnsi"/>
      <w:color w:val="dad08b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F0B2F"/>
    <w:pPr>
      <w:keepNext w:val="1"/>
      <w:keepLines w:val="1"/>
      <w:spacing w:after="0" w:before="40" w:line="240" w:lineRule="auto"/>
      <w:outlineLvl w:val="2"/>
    </w:pPr>
    <w:rPr>
      <w:rFonts w:asciiTheme="majorHAnsi" w:cstheme="majorBidi" w:eastAsiaTheme="majorEastAsia" w:hAnsiTheme="majorHAnsi"/>
      <w:color w:val="dad08b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F0B2F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color w:val="dad08b" w:themeColor="accent1" w:themeShade="0000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F0B2F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aps w:val="1"/>
      <w:color w:val="dad08b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F0B2F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i w:val="1"/>
      <w:iCs w:val="1"/>
      <w:caps w:val="1"/>
      <w:color w:val="b5a63a" w:themeColor="accent1" w:themeShade="00008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F0B2F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b w:val="1"/>
      <w:bCs w:val="1"/>
      <w:color w:val="b5a63a" w:themeColor="accent1" w:themeShade="00008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F0B2F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b5a63a" w:themeColor="accent1" w:themeShade="00008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F0B2F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b5a63a" w:themeColor="accent1" w:themeShade="00008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8F0B2F"/>
    <w:pPr>
      <w:spacing w:after="0" w:line="204" w:lineRule="auto"/>
      <w:contextualSpacing w:val="1"/>
    </w:pPr>
    <w:rPr>
      <w:rFonts w:asciiTheme="majorHAnsi" w:cstheme="majorBidi" w:eastAsiaTheme="majorEastAsia" w:hAnsiTheme="majorHAnsi"/>
      <w:caps w:val="1"/>
      <w:color w:val="1f497d" w:themeColor="text2"/>
      <w:spacing w:val="-15"/>
      <w:sz w:val="72"/>
      <w:szCs w:val="72"/>
    </w:rPr>
  </w:style>
  <w:style w:type="paragraph" w:styleId="Header">
    <w:name w:val="header"/>
    <w:basedOn w:val="Normal"/>
    <w:link w:val="HeaderChar"/>
    <w:uiPriority w:val="99"/>
    <w:semiHidden w:val="1"/>
    <w:rsid w:val="006B3150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B54986"/>
    <w:rPr>
      <w:rFonts w:hAnsi="Franklin Gothic Book" w:eastAsiaTheme="minorEastAsia"/>
      <w:color w:val="000000" w:themeColor="text1"/>
      <w:kern w:val="24"/>
    </w:rPr>
  </w:style>
  <w:style w:type="paragraph" w:styleId="Footer">
    <w:name w:val="footer"/>
    <w:basedOn w:val="Normal"/>
    <w:link w:val="FooterChar"/>
    <w:uiPriority w:val="99"/>
    <w:semiHidden w:val="1"/>
    <w:rsid w:val="006B3150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B54986"/>
    <w:rPr>
      <w:rFonts w:hAnsi="Franklin Gothic Book" w:eastAsiaTheme="minorEastAsia"/>
      <w:color w:val="000000" w:themeColor="text1"/>
      <w:kern w:val="24"/>
    </w:rPr>
  </w:style>
  <w:style w:type="paragraph" w:styleId="NormalWeb">
    <w:name w:val="Normal (Web)"/>
    <w:basedOn w:val="Normal"/>
    <w:uiPriority w:val="99"/>
    <w:semiHidden w:val="1"/>
    <w:rsid w:val="006B3150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ddress" w:customStyle="1">
    <w:name w:val="Address"/>
    <w:basedOn w:val="Normal"/>
    <w:rsid w:val="0048689E"/>
    <w:pPr>
      <w:spacing w:after="0"/>
      <w:ind w:right="144"/>
      <w:jc w:val="right"/>
    </w:pPr>
    <w:rPr>
      <w:sz w:val="20"/>
    </w:rPr>
  </w:style>
  <w:style w:type="table" w:styleId="TableGrid">
    <w:name w:val="Table Grid"/>
    <w:basedOn w:val="TableNormal"/>
    <w:uiPriority w:val="39"/>
    <w:rsid w:val="007971D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7971D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 w:val="1"/>
    <w:rsid w:val="00B54986"/>
    <w:pPr>
      <w:spacing w:before="1080"/>
    </w:pPr>
  </w:style>
  <w:style w:type="character" w:styleId="DateChar" w:customStyle="1">
    <w:name w:val="Date Char"/>
    <w:basedOn w:val="DefaultParagraphFont"/>
    <w:link w:val="Date"/>
    <w:uiPriority w:val="99"/>
    <w:semiHidden w:val="1"/>
    <w:rsid w:val="00896C0C"/>
    <w:rPr>
      <w:rFonts w:hAnsi="Franklin Gothic Book" w:eastAsiaTheme="minorEastAsia"/>
      <w:color w:val="000000" w:themeColor="text1"/>
      <w:kern w:val="24"/>
    </w:rPr>
  </w:style>
  <w:style w:type="paragraph" w:styleId="Closing">
    <w:name w:val="Closing"/>
    <w:basedOn w:val="Normal"/>
    <w:link w:val="ClosingChar"/>
    <w:uiPriority w:val="99"/>
    <w:rsid w:val="00B54986"/>
    <w:pPr>
      <w:spacing w:after="600"/>
    </w:pPr>
  </w:style>
  <w:style w:type="character" w:styleId="ClosingChar" w:customStyle="1">
    <w:name w:val="Closing Char"/>
    <w:basedOn w:val="DefaultParagraphFont"/>
    <w:link w:val="Closing"/>
    <w:uiPriority w:val="99"/>
    <w:rsid w:val="00B54986"/>
    <w:rPr>
      <w:rFonts w:hAnsi="Franklin Gothic Book" w:eastAsiaTheme="minorEastAsia"/>
      <w:color w:val="000000" w:themeColor="text1"/>
      <w:kern w:val="24"/>
    </w:rPr>
  </w:style>
  <w:style w:type="paragraph" w:styleId="ListBullet">
    <w:name w:val="List Bullet"/>
    <w:basedOn w:val="Normal"/>
    <w:uiPriority w:val="99"/>
    <w:rsid w:val="00F051C0"/>
    <w:pPr>
      <w:numPr>
        <w:numId w:val="1"/>
      </w:numPr>
      <w:spacing w:after="60"/>
    </w:pPr>
  </w:style>
  <w:style w:type="paragraph" w:styleId="Address1" w:customStyle="1">
    <w:name w:val="Address1"/>
    <w:basedOn w:val="Normal"/>
    <w:next w:val="Address"/>
    <w:link w:val="Address1Char"/>
    <w:rsid w:val="0048689E"/>
    <w:pPr>
      <w:spacing w:after="0" w:before="240"/>
      <w:ind w:right="144"/>
      <w:jc w:val="right"/>
    </w:pPr>
    <w:rPr>
      <w:sz w:val="20"/>
    </w:rPr>
  </w:style>
  <w:style w:type="character" w:styleId="Address1Char" w:customStyle="1">
    <w:name w:val="Address1 Char"/>
    <w:basedOn w:val="DefaultParagraphFont"/>
    <w:link w:val="Address1"/>
    <w:rsid w:val="0048689E"/>
    <w:rPr>
      <w:rFonts w:hAnsi="Franklin Gothic Book" w:eastAsiaTheme="minorEastAsia"/>
      <w:color w:val="000000" w:themeColor="text1"/>
      <w:kern w:val="24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8F0B2F"/>
    <w:rPr>
      <w:rFonts w:asciiTheme="majorHAnsi" w:cstheme="majorBidi" w:eastAsiaTheme="majorEastAsia" w:hAnsiTheme="majorHAnsi"/>
      <w:color w:val="b5a63a" w:themeColor="accent1" w:themeShade="000080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F0B2F"/>
    <w:rPr>
      <w:rFonts w:asciiTheme="majorHAnsi" w:cstheme="majorBidi" w:eastAsiaTheme="majorEastAsia" w:hAnsiTheme="majorHAnsi"/>
      <w:color w:val="dad08b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F0B2F"/>
    <w:rPr>
      <w:rFonts w:asciiTheme="majorHAnsi" w:cstheme="majorBidi" w:eastAsiaTheme="majorEastAsia" w:hAnsiTheme="majorHAnsi"/>
      <w:color w:val="dad08b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F0B2F"/>
    <w:rPr>
      <w:rFonts w:asciiTheme="majorHAnsi" w:cstheme="majorBidi" w:eastAsiaTheme="majorEastAsia" w:hAnsiTheme="majorHAnsi"/>
      <w:color w:val="dad08b" w:themeColor="accent1" w:themeShade="0000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F0B2F"/>
    <w:rPr>
      <w:rFonts w:asciiTheme="majorHAnsi" w:cstheme="majorBidi" w:eastAsiaTheme="majorEastAsia" w:hAnsiTheme="majorHAnsi"/>
      <w:caps w:val="1"/>
      <w:color w:val="dad08b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F0B2F"/>
    <w:rPr>
      <w:rFonts w:asciiTheme="majorHAnsi" w:cstheme="majorBidi" w:eastAsiaTheme="majorEastAsia" w:hAnsiTheme="majorHAnsi"/>
      <w:i w:val="1"/>
      <w:iCs w:val="1"/>
      <w:caps w:val="1"/>
      <w:color w:val="b5a63a" w:themeColor="accent1" w:themeShade="00008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F0B2F"/>
    <w:rPr>
      <w:rFonts w:asciiTheme="majorHAnsi" w:cstheme="majorBidi" w:eastAsiaTheme="majorEastAsia" w:hAnsiTheme="majorHAnsi"/>
      <w:b w:val="1"/>
      <w:bCs w:val="1"/>
      <w:color w:val="b5a63a" w:themeColor="accent1" w:themeShade="00008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F0B2F"/>
    <w:rPr>
      <w:rFonts w:asciiTheme="majorHAnsi" w:cstheme="majorBidi" w:eastAsiaTheme="majorEastAsia" w:hAnsiTheme="majorHAnsi"/>
      <w:b w:val="1"/>
      <w:bCs w:val="1"/>
      <w:i w:val="1"/>
      <w:iCs w:val="1"/>
      <w:color w:val="b5a63a" w:themeColor="accent1" w:themeShade="00008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F0B2F"/>
    <w:rPr>
      <w:rFonts w:asciiTheme="majorHAnsi" w:cstheme="majorBidi" w:eastAsiaTheme="majorEastAsia" w:hAnsiTheme="majorHAnsi"/>
      <w:i w:val="1"/>
      <w:iCs w:val="1"/>
      <w:color w:val="b5a63a" w:themeColor="accent1" w:themeShade="00008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8F0B2F"/>
    <w:pPr>
      <w:spacing w:line="240" w:lineRule="auto"/>
    </w:pPr>
    <w:rPr>
      <w:b w:val="1"/>
      <w:bCs w:val="1"/>
      <w:smallCaps w:val="1"/>
      <w:color w:val="1f497d" w:themeColor="text2"/>
    </w:rPr>
  </w:style>
  <w:style w:type="character" w:styleId="TitleChar" w:customStyle="1">
    <w:name w:val="Title Char"/>
    <w:basedOn w:val="DefaultParagraphFont"/>
    <w:link w:val="Title"/>
    <w:uiPriority w:val="10"/>
    <w:rsid w:val="008F0B2F"/>
    <w:rPr>
      <w:rFonts w:asciiTheme="majorHAnsi" w:cstheme="majorBidi" w:eastAsiaTheme="majorEastAsia" w:hAnsiTheme="majorHAnsi"/>
      <w:caps w:val="1"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240" w:line="240" w:lineRule="auto"/>
    </w:pPr>
    <w:rPr>
      <w:color w:val="f7f5e6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F0B2F"/>
    <w:rPr>
      <w:rFonts w:asciiTheme="majorHAnsi" w:cstheme="majorBidi" w:eastAsiaTheme="majorEastAsia" w:hAnsiTheme="majorHAnsi"/>
      <w:color w:val="f7f5e6" w:themeColor="accent1"/>
      <w:sz w:val="28"/>
      <w:szCs w:val="28"/>
    </w:rPr>
  </w:style>
  <w:style w:type="character" w:styleId="Strong">
    <w:name w:val="Strong"/>
    <w:basedOn w:val="DefaultParagraphFont"/>
    <w:uiPriority w:val="22"/>
    <w:qFormat w:val="1"/>
    <w:rsid w:val="008F0B2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8F0B2F"/>
    <w:rPr>
      <w:i w:val="1"/>
      <w:iCs w:val="1"/>
    </w:rPr>
  </w:style>
  <w:style w:type="paragraph" w:styleId="NoSpacing">
    <w:name w:val="No Spacing"/>
    <w:uiPriority w:val="1"/>
    <w:qFormat w:val="1"/>
    <w:rsid w:val="008F0B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8F0B2F"/>
    <w:pPr>
      <w:spacing w:after="120" w:before="120"/>
      <w:ind w:left="720"/>
    </w:pPr>
    <w:rPr>
      <w:color w:val="1f497d" w:themeColor="text2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8F0B2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F0B2F"/>
    <w:pPr>
      <w:spacing w:after="240" w:before="100" w:beforeAutospacing="1" w:line="240" w:lineRule="auto"/>
      <w:ind w:left="720"/>
      <w:jc w:val="center"/>
    </w:pPr>
    <w:rPr>
      <w:rFonts w:asciiTheme="majorHAnsi" w:cstheme="majorBidi" w:eastAsiaTheme="majorEastAsia" w:hAnsiTheme="majorHAnsi"/>
      <w:color w:val="1f497d" w:themeColor="text2"/>
      <w:spacing w:val="-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F0B2F"/>
    <w:rPr>
      <w:rFonts w:asciiTheme="majorHAnsi" w:cstheme="majorBidi" w:eastAsiaTheme="majorEastAsia" w:hAnsiTheme="majorHAns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 w:val="1"/>
    <w:rsid w:val="008F0B2F"/>
    <w:rPr>
      <w:i w:val="1"/>
      <w:iCs w:val="1"/>
      <w:color w:val="595959" w:themeColor="text1" w:themeTint="0000A6"/>
    </w:rPr>
  </w:style>
  <w:style w:type="character" w:styleId="IntenseEmphasis">
    <w:name w:val="Intense Emphasis"/>
    <w:basedOn w:val="DefaultParagraphFont"/>
    <w:uiPriority w:val="21"/>
    <w:qFormat w:val="1"/>
    <w:rsid w:val="008F0B2F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8F0B2F"/>
    <w:rPr>
      <w:smallCaps w:val="1"/>
      <w:color w:val="595959" w:themeColor="text1" w:themeTint="0000A6"/>
      <w:u w:color="7f7f7f" w:themeColor="text1" w:themeTint="000080" w:val="none"/>
      <w:bdr w:color="auto" w:space="0" w:sz="0" w:val="none"/>
    </w:rPr>
  </w:style>
  <w:style w:type="character" w:styleId="IntenseReference">
    <w:name w:val="Intense Reference"/>
    <w:basedOn w:val="DefaultParagraphFont"/>
    <w:uiPriority w:val="32"/>
    <w:qFormat w:val="1"/>
    <w:rsid w:val="008F0B2F"/>
    <w:rPr>
      <w:b w:val="1"/>
      <w:bCs w:val="1"/>
      <w:smallCaps w:val="1"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 w:val="1"/>
    <w:rsid w:val="008F0B2F"/>
    <w:rPr>
      <w:b w:val="1"/>
      <w:bCs w:val="1"/>
      <w:smallCaps w:val="1"/>
      <w:spacing w:val="1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8F0B2F"/>
    <w:pPr>
      <w:outlineLvl w:val="9"/>
    </w:pPr>
  </w:style>
  <w:style w:type="paragraph" w:styleId="ListParagraph">
    <w:name w:val="List Paragraph"/>
    <w:basedOn w:val="Normal"/>
    <w:uiPriority w:val="34"/>
    <w:qFormat w:val="1"/>
    <w:rsid w:val="00F30A9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719A9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719A9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spacing w:after="240" w:line="240" w:lineRule="auto"/>
    </w:pPr>
    <w:rPr>
      <w:color w:val="f7f5e6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240" w:line="240" w:lineRule="auto"/>
    </w:pPr>
    <w:rPr>
      <w:color w:val="f7f5e6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gov/sites/default/files/2017-04/documents/fact_sheet_methylene_choride_or_dichloromethane_dcm.pdf" TargetMode="External"/><Relationship Id="rId18" Type="http://schemas.openxmlformats.org/officeDocument/2006/relationships/image" Target="media/image1.png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21" Type="http://schemas.openxmlformats.org/officeDocument/2006/relationships/customXml" Target="../customXML/item2.xml"/><Relationship Id="rId12" Type="http://schemas.openxmlformats.org/officeDocument/2006/relationships/hyperlink" Target="https://cdn.mscdirect.com/global/media/pdf/search/ansell/ansell-chemical-glove-resistance-guide.pdf" TargetMode="External"/><Relationship Id="rId17" Type="http://schemas.openxmlformats.org/officeDocument/2006/relationships/hyperlink" Target="https://www.regulations.gov/document/EPA-HQ-OPPT-2019-0437-0107" TargetMode="External"/><Relationship Id="rId7" Type="http://schemas.openxmlformats.org/officeDocument/2006/relationships/image" Target="media/image5.jpg"/><Relationship Id="rId20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epa.gov/sites/default/files/2017-02/documents/methylene_chloride_.pdf" TargetMode="External"/><Relationship Id="rId11" Type="http://schemas.openxmlformats.org/officeDocument/2006/relationships/hyperlink" Target="https://www.epa.gov/system/files/documents/2024-07/mecl-compliance-guide.pdf" TargetMode="Externa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hyperlink" Target="https://www.osha.gov/sites/default/files/publications/methylene_chloride_hazard_alert.pdf" TargetMode="External"/><Relationship Id="rId5" Type="http://schemas.openxmlformats.org/officeDocument/2006/relationships/styles" Target="styles.xml"/><Relationship Id="rId23" Type="http://schemas.openxmlformats.org/officeDocument/2006/relationships/customXml" Target="../customXML/item4.xml"/><Relationship Id="rId10" Type="http://schemas.openxmlformats.org/officeDocument/2006/relationships/hyperlink" Target="https://www.epa.gov/system/files/documents/2024-07/mecl-compliance-guide.pdf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hyperlink" Target="https://www.epa.gov/system/files/documents/2024-07/mecl-fact-sheet_0.pdf" TargetMode="External"/><Relationship Id="rId22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i6uO+Wt1ftMVTIFAIBVhWfckw==">CgMxLjA4AHIhMXFFTTZkRUx2MG5iMWxMa19OYXlIOUJjdGF0VGZGV1Rh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EB7864A94B14E86D6CB400B45ADAF" ma:contentTypeVersion="4" ma:contentTypeDescription="Create a new document." ma:contentTypeScope="" ma:versionID="d734237e7e22ba99e9ee37ab2499d76b">
  <xsd:schema xmlns:xsd="http://www.w3.org/2001/XMLSchema" xmlns:xs="http://www.w3.org/2001/XMLSchema" xmlns:p="http://schemas.microsoft.com/office/2006/metadata/properties" xmlns:ns2="c6499355-159f-4689-a12b-86464950cdfb" targetNamespace="http://schemas.microsoft.com/office/2006/metadata/properties" ma:root="true" ma:fieldsID="93f25ce3c1401491c6452af276cd77ab" ns2:_="">
    <xsd:import namespace="c6499355-159f-4689-a12b-86464950c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99355-159f-4689-a12b-86464950c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1321BCE-5D74-4355-9B74-A136B126E032}"/>
</file>

<file path=customXML/itemProps3.xml><?xml version="1.0" encoding="utf-8"?>
<ds:datastoreItem xmlns:ds="http://schemas.openxmlformats.org/officeDocument/2006/customXml" ds:itemID="{B1291FAD-EEAC-4552-8876-98AB918253C5}"/>
</file>

<file path=customXML/itemProps4.xml><?xml version="1.0" encoding="utf-8"?>
<ds:datastoreItem xmlns:ds="http://schemas.openxmlformats.org/officeDocument/2006/customXml" ds:itemID="{C64A6A96-BF76-46D5-B8D5-BCC68CBFDB3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Sharp</dc:creator>
  <dcterms:created xsi:type="dcterms:W3CDTF">2024-11-20T19:52:00Z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0x010100DD5EB7864A94B14E86D6CB400B45ADAF</vt:lpwstr>
  </property>
</Properties>
</file>