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58848A1C" w:rsidR="005B78DD" w:rsidRPr="00705A45" w:rsidRDefault="005B78DD" w:rsidP="00646DE1">
      <w:pPr>
        <w:pStyle w:val="Default"/>
        <w:ind w:left="4320" w:hanging="360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F5539E">
        <w:rPr>
          <w:sz w:val="28"/>
        </w:rPr>
        <w:t>Rhabdovirus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279A7A7E" w:rsidR="005B78DD" w:rsidRPr="00507226" w:rsidRDefault="005B78DD" w:rsidP="00FF0874">
      <w:pPr>
        <w:pStyle w:val="Default"/>
        <w:ind w:left="4320" w:hanging="4140"/>
        <w:rPr>
          <w:sz w:val="22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F5539E" w:rsidRPr="00F5539E">
        <w:t>Direct contact with infected saliva into break in skin or mucous membranes; animal bite</w:t>
      </w:r>
    </w:p>
    <w:p w14:paraId="3439F395" w14:textId="1521182C" w:rsidR="002E60E2" w:rsidRDefault="002E60E2" w:rsidP="00F5539E">
      <w:pPr>
        <w:pStyle w:val="Default"/>
      </w:pPr>
    </w:p>
    <w:p w14:paraId="31A915AB" w14:textId="77777777" w:rsidR="00996A29" w:rsidRPr="005D7A8E" w:rsidRDefault="00996A29" w:rsidP="00FF0874">
      <w:pPr>
        <w:pStyle w:val="Default"/>
        <w:ind w:left="4320" w:hanging="4140"/>
      </w:pPr>
    </w:p>
    <w:p w14:paraId="4A0F40B4" w14:textId="77777777" w:rsidR="00F5539E" w:rsidRDefault="005B78DD" w:rsidP="00F5539E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F5539E" w:rsidRPr="00F5539E">
        <w:t>Human: 10 days-3 months (up to years; depends on</w:t>
      </w:r>
      <w:r w:rsidR="00F5539E">
        <w:t xml:space="preserve"> </w:t>
      </w:r>
      <w:r w:rsidR="00F5539E" w:rsidRPr="00F5539E">
        <w:t>location of bite/exposure)</w:t>
      </w:r>
    </w:p>
    <w:p w14:paraId="4BDA4514" w14:textId="4632194C" w:rsidR="00E1595F" w:rsidRDefault="00F5539E" w:rsidP="00F5539E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ab/>
      </w:r>
      <w:r w:rsidRPr="00F5539E">
        <w:t>Animal: 10 days-6 months</w:t>
      </w:r>
    </w:p>
    <w:p w14:paraId="15B7C967" w14:textId="0B0165A2" w:rsidR="00AE6810" w:rsidRDefault="00AE6810" w:rsidP="002E60E2">
      <w:pPr>
        <w:pStyle w:val="Default"/>
        <w:tabs>
          <w:tab w:val="left" w:pos="4410"/>
        </w:tabs>
        <w:ind w:left="870"/>
      </w:pPr>
    </w:p>
    <w:p w14:paraId="4FA4B657" w14:textId="77777777" w:rsidR="00F5539E" w:rsidRDefault="00F5539E" w:rsidP="002E60E2">
      <w:pPr>
        <w:pStyle w:val="Default"/>
        <w:tabs>
          <w:tab w:val="left" w:pos="4410"/>
        </w:tabs>
        <w:ind w:left="870"/>
      </w:pPr>
    </w:p>
    <w:p w14:paraId="13C962DA" w14:textId="2B930F3F" w:rsidR="005B78DD" w:rsidRDefault="005B78DD" w:rsidP="00F5539E">
      <w:pPr>
        <w:pStyle w:val="Default"/>
        <w:ind w:left="4320" w:hanging="4320"/>
      </w:pPr>
      <w:r>
        <w:rPr>
          <w:b/>
          <w:sz w:val="32"/>
          <w:szCs w:val="32"/>
        </w:rPr>
        <w:t xml:space="preserve">   Clinical Signs Human: </w:t>
      </w:r>
      <w:r w:rsidR="00F5539E" w:rsidRPr="00F5539E">
        <w:t>Headache; fever; general ill-being; abnormal behavior; weakness or paralysis; difficulty swallowing; delirium; convulsions; death</w:t>
      </w:r>
    </w:p>
    <w:p w14:paraId="2FE208A2" w14:textId="305B0EFA" w:rsidR="005B78DD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305A4817" w14:textId="77777777" w:rsidR="00F5539E" w:rsidRPr="005D7A8E" w:rsidRDefault="00F5539E" w:rsidP="005B78DD">
      <w:pPr>
        <w:rPr>
          <w:szCs w:val="24"/>
        </w:rPr>
      </w:pPr>
    </w:p>
    <w:p w14:paraId="3988FE82" w14:textId="0A544581" w:rsidR="008A1B5C" w:rsidRPr="00F5539E" w:rsidRDefault="005B78DD" w:rsidP="00F5539E">
      <w:pPr>
        <w:pStyle w:val="Default"/>
        <w:ind w:left="4320" w:hanging="432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F5539E" w:rsidRPr="00F5539E">
        <w:t>Distress and extreme agitation (which may resemble colic symptoms); unexplained paralysis or behavioral changes; death</w:t>
      </w:r>
    </w:p>
    <w:p w14:paraId="5C7897C6" w14:textId="128C67D6" w:rsidR="00AE6810" w:rsidRDefault="00AE6810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2F78292D" w14:textId="77777777" w:rsidR="00F5539E" w:rsidRPr="00CA5024" w:rsidRDefault="00F5539E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7204D4E" w14:textId="627EAA60" w:rsidR="00E1595F" w:rsidRDefault="005B78DD" w:rsidP="00E1595F">
      <w:pPr>
        <w:pStyle w:val="Default"/>
        <w:ind w:left="4410" w:hanging="4410"/>
        <w:rPr>
          <w:szCs w:val="28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F5539E" w:rsidRPr="00F5539E">
        <w:rPr>
          <w:szCs w:val="28"/>
        </w:rPr>
        <w:t>Wear gloves when handling suspect animals; vaccination program</w:t>
      </w:r>
      <w:r w:rsidR="00F5539E">
        <w:rPr>
          <w:szCs w:val="28"/>
        </w:rPr>
        <w:t xml:space="preserve"> </w:t>
      </w:r>
      <w:r w:rsidR="00F5539E" w:rsidRPr="00F5539E">
        <w:rPr>
          <w:szCs w:val="28"/>
        </w:rPr>
        <w:t>for animals and individuals at high risk</w:t>
      </w:r>
    </w:p>
    <w:p w14:paraId="7A2073E0" w14:textId="2FD0722C" w:rsidR="00F5539E" w:rsidRDefault="00F5539E" w:rsidP="00E1595F">
      <w:pPr>
        <w:pStyle w:val="Default"/>
        <w:ind w:left="4410" w:hanging="4410"/>
        <w:rPr>
          <w:szCs w:val="28"/>
        </w:rPr>
      </w:pPr>
    </w:p>
    <w:p w14:paraId="6AB8DF1E" w14:textId="77777777" w:rsidR="00F5539E" w:rsidRDefault="00F5539E" w:rsidP="00E1595F">
      <w:pPr>
        <w:pStyle w:val="Default"/>
        <w:ind w:left="4410" w:hanging="4410"/>
        <w:rPr>
          <w:szCs w:val="28"/>
        </w:rPr>
      </w:pPr>
      <w:bookmarkStart w:id="1" w:name="_GoBack"/>
      <w:bookmarkEnd w:id="1"/>
    </w:p>
    <w:p w14:paraId="07FB8C14" w14:textId="1BC4A871" w:rsidR="00F5539E" w:rsidRPr="00673647" w:rsidRDefault="00F5539E" w:rsidP="00F5539E">
      <w:pPr>
        <w:ind w:left="4320" w:hanging="216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 w:rsidRPr="00F5539E">
        <w:rPr>
          <w:rFonts w:ascii="Verdana" w:hAnsi="Verdana"/>
          <w:szCs w:val="24"/>
        </w:rPr>
        <w:t>seek medical attention immediately if exposure is suspected; person to person transmission has been observed</w:t>
      </w:r>
      <w:r>
        <w:rPr>
          <w:rFonts w:ascii="Verdana" w:hAnsi="Verdana"/>
          <w:szCs w:val="24"/>
        </w:rPr>
        <w:t>.</w:t>
      </w:r>
    </w:p>
    <w:p w14:paraId="0A0BF67B" w14:textId="77777777" w:rsidR="00F5539E" w:rsidRPr="00507226" w:rsidRDefault="00F5539E" w:rsidP="00E1595F">
      <w:pPr>
        <w:pStyle w:val="Default"/>
        <w:ind w:left="4410" w:hanging="4410"/>
        <w:rPr>
          <w:szCs w:val="28"/>
        </w:rPr>
      </w:pPr>
    </w:p>
    <w:p w14:paraId="0FCC8D49" w14:textId="2CAD72FD" w:rsidR="00CF4567" w:rsidRPr="00673647" w:rsidRDefault="00CF4567" w:rsidP="00996A29">
      <w:pPr>
        <w:rPr>
          <w:rFonts w:ascii="Verdana" w:hAnsi="Verdana" w:cs="Arial"/>
          <w:szCs w:val="24"/>
        </w:rPr>
      </w:pP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B7A3" w14:textId="77777777" w:rsidR="006A20AC" w:rsidRDefault="006A20AC" w:rsidP="00016861">
      <w:r>
        <w:separator/>
      </w:r>
    </w:p>
  </w:endnote>
  <w:endnote w:type="continuationSeparator" w:id="0">
    <w:p w14:paraId="16CF1B05" w14:textId="77777777" w:rsidR="006A20AC" w:rsidRDefault="006A20AC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C3F32" w14:textId="77777777" w:rsidR="006A20AC" w:rsidRDefault="006A20AC" w:rsidP="00016861">
      <w:r>
        <w:separator/>
      </w:r>
    </w:p>
  </w:footnote>
  <w:footnote w:type="continuationSeparator" w:id="0">
    <w:p w14:paraId="3B0C0EDE" w14:textId="77777777" w:rsidR="006A20AC" w:rsidRDefault="006A20AC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7E148622" w:rsidR="002F7FA8" w:rsidRPr="00AE6810" w:rsidRDefault="00E660A5" w:rsidP="002F7FA8">
    <w:pPr>
      <w:rPr>
        <w:b/>
        <w:i/>
        <w:color w:val="C00000"/>
        <w:sz w:val="48"/>
        <w:szCs w:val="28"/>
      </w:rPr>
    </w:pPr>
    <w:r>
      <w:rPr>
        <w:b/>
        <w:color w:val="C00000"/>
        <w:sz w:val="48"/>
        <w:szCs w:val="28"/>
      </w:rPr>
      <w:t>Equine</w:t>
    </w:r>
    <w:r w:rsidRPr="00F738DD">
      <w:rPr>
        <w:b/>
        <w:color w:val="C00000"/>
        <w:sz w:val="48"/>
        <w:szCs w:val="28"/>
      </w:rPr>
      <w:t xml:space="preserve"> </w:t>
    </w:r>
    <w:r w:rsidR="00F5539E">
      <w:rPr>
        <w:b/>
        <w:color w:val="C00000"/>
        <w:sz w:val="48"/>
        <w:szCs w:val="28"/>
      </w:rPr>
      <w:t>Rabies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D4D0C"/>
    <w:rsid w:val="000E2821"/>
    <w:rsid w:val="00137AC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07226"/>
    <w:rsid w:val="005124EA"/>
    <w:rsid w:val="005137A5"/>
    <w:rsid w:val="00552D47"/>
    <w:rsid w:val="005625E2"/>
    <w:rsid w:val="005B0BFC"/>
    <w:rsid w:val="005B78DD"/>
    <w:rsid w:val="005C07B8"/>
    <w:rsid w:val="006043CA"/>
    <w:rsid w:val="0061339A"/>
    <w:rsid w:val="0062790A"/>
    <w:rsid w:val="00645EB2"/>
    <w:rsid w:val="00646DE1"/>
    <w:rsid w:val="0066251D"/>
    <w:rsid w:val="0067029E"/>
    <w:rsid w:val="006712AC"/>
    <w:rsid w:val="00673647"/>
    <w:rsid w:val="00676225"/>
    <w:rsid w:val="00682B16"/>
    <w:rsid w:val="006959AD"/>
    <w:rsid w:val="006A20AC"/>
    <w:rsid w:val="00705A45"/>
    <w:rsid w:val="007160B3"/>
    <w:rsid w:val="00737763"/>
    <w:rsid w:val="0076084A"/>
    <w:rsid w:val="00767A20"/>
    <w:rsid w:val="007B3593"/>
    <w:rsid w:val="007B43DF"/>
    <w:rsid w:val="007E792A"/>
    <w:rsid w:val="0086207E"/>
    <w:rsid w:val="008705B8"/>
    <w:rsid w:val="008A1B5C"/>
    <w:rsid w:val="009644FF"/>
    <w:rsid w:val="009654AF"/>
    <w:rsid w:val="0098716E"/>
    <w:rsid w:val="00996A29"/>
    <w:rsid w:val="009C1957"/>
    <w:rsid w:val="009F651C"/>
    <w:rsid w:val="009F73B6"/>
    <w:rsid w:val="00A11D76"/>
    <w:rsid w:val="00A30267"/>
    <w:rsid w:val="00A3424B"/>
    <w:rsid w:val="00A413C1"/>
    <w:rsid w:val="00A558D0"/>
    <w:rsid w:val="00A662A4"/>
    <w:rsid w:val="00A66F46"/>
    <w:rsid w:val="00AE6810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1595F"/>
    <w:rsid w:val="00E54332"/>
    <w:rsid w:val="00E57CEE"/>
    <w:rsid w:val="00E660A5"/>
    <w:rsid w:val="00E775A5"/>
    <w:rsid w:val="00E905D7"/>
    <w:rsid w:val="00EA4875"/>
    <w:rsid w:val="00F42EF6"/>
    <w:rsid w:val="00F5539E"/>
    <w:rsid w:val="00F738DD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3C22-9B76-4F25-BFED-D6F87627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2019-02-28T20:51:00Z</dcterms:created>
  <dcterms:modified xsi:type="dcterms:W3CDTF">2019-02-28T20:51:00Z</dcterms:modified>
</cp:coreProperties>
</file>