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4E4655BF" w:rsidR="005B78DD" w:rsidRPr="00B36381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7160B3" w:rsidRPr="007160B3">
        <w:rPr>
          <w:i/>
        </w:rPr>
        <w:t>Leptospira</w:t>
      </w:r>
      <w:r w:rsidR="007160B3">
        <w:rPr>
          <w:i/>
        </w:rPr>
        <w:t xml:space="preserve"> </w:t>
      </w:r>
      <w:r w:rsidR="007160B3" w:rsidRPr="007160B3">
        <w:t>spp. bacterial spirochete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34E0DF34" w14:textId="64259E6B" w:rsidR="005B78DD" w:rsidRPr="006F4F61" w:rsidRDefault="005B78DD" w:rsidP="007160B3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7160B3" w:rsidRPr="007160B3">
        <w:rPr>
          <w:sz w:val="23"/>
          <w:szCs w:val="23"/>
        </w:rPr>
        <w:t>Ingestion of contaminated water; inhalation; direct</w:t>
      </w:r>
      <w:r w:rsidR="007160B3">
        <w:rPr>
          <w:sz w:val="23"/>
          <w:szCs w:val="23"/>
        </w:rPr>
        <w:t xml:space="preserve"> </w:t>
      </w:r>
      <w:r w:rsidR="007160B3" w:rsidRPr="007160B3">
        <w:rPr>
          <w:sz w:val="23"/>
          <w:szCs w:val="23"/>
        </w:rPr>
        <w:t>contact with urine or through skin lesions; walking barefoo</w:t>
      </w:r>
      <w:r w:rsidR="007160B3">
        <w:rPr>
          <w:sz w:val="23"/>
          <w:szCs w:val="23"/>
        </w:rPr>
        <w:t>t</w:t>
      </w:r>
    </w:p>
    <w:p w14:paraId="31DF954C" w14:textId="77777777" w:rsidR="005B78DD" w:rsidRPr="005D7A8E" w:rsidRDefault="005B78DD" w:rsidP="005B78DD">
      <w:pPr>
        <w:rPr>
          <w:szCs w:val="24"/>
        </w:rPr>
      </w:pPr>
    </w:p>
    <w:p w14:paraId="55ACAFB3" w14:textId="112F7968" w:rsidR="0066251D" w:rsidRPr="0066251D" w:rsidRDefault="005B78DD" w:rsidP="00B36381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66251D" w:rsidRPr="0066251D">
        <w:t>Human</w:t>
      </w:r>
      <w:r w:rsidR="00B36381">
        <w:t xml:space="preserve">: </w:t>
      </w:r>
      <w:r w:rsidR="00673647">
        <w:t>2</w:t>
      </w:r>
      <w:r w:rsidR="007160B3">
        <w:t xml:space="preserve"> days-4 weeks</w:t>
      </w:r>
    </w:p>
    <w:p w14:paraId="6261885F" w14:textId="0482B8B1" w:rsidR="005B78DD" w:rsidRPr="00CA5024" w:rsidRDefault="0066251D" w:rsidP="0066251D">
      <w:pPr>
        <w:pStyle w:val="Default"/>
        <w:tabs>
          <w:tab w:val="left" w:pos="4410"/>
        </w:tabs>
      </w:pPr>
      <w:r>
        <w:t xml:space="preserve">                                                   </w:t>
      </w:r>
      <w:r w:rsidRPr="0066251D">
        <w:t xml:space="preserve">Animal: </w:t>
      </w:r>
      <w:r w:rsidR="007160B3">
        <w:t>3-7 days (</w:t>
      </w:r>
      <w:r w:rsidR="00673647">
        <w:t>variable</w:t>
      </w:r>
      <w:r w:rsidR="007160B3">
        <w:t>)</w:t>
      </w:r>
    </w:p>
    <w:p w14:paraId="52B986BE" w14:textId="77777777" w:rsidR="005B78DD" w:rsidRDefault="005B78DD" w:rsidP="005B78DD">
      <w:pPr>
        <w:rPr>
          <w:szCs w:val="24"/>
        </w:rPr>
      </w:pPr>
    </w:p>
    <w:p w14:paraId="1A38E582" w14:textId="33DA40C7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7160B3" w:rsidRPr="007160B3">
        <w:t>Fever; headache; chills; cough; difficult breathing; weakness; abdominal pain; nausea; vomiting; severe muscle pain or tenderness; reddening of the eyes; jaundice; meningitis; acute kidney failure; abortion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53D74BB6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7160B3" w:rsidRPr="007160B3">
        <w:t>Usually asymptomatic; weakness; anorexia; fever; anemia; decreased milk production; abortion; stillbirth; weak lambs; infertility; weight loss; blood in urine; jaundice; death</w:t>
      </w:r>
    </w:p>
    <w:p w14:paraId="59418823" w14:textId="505F11E5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13848F7B" w:rsidR="005B78DD" w:rsidRDefault="005B78DD" w:rsidP="005B78DD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7160B3" w:rsidRPr="007160B3">
        <w:t>Good pasture drainage; protect water supply from animal contamination; wear protective clothing.</w:t>
      </w:r>
    </w:p>
    <w:p w14:paraId="54CA893C" w14:textId="77CD63C7" w:rsidR="00673647" w:rsidRDefault="00673647" w:rsidP="005B78DD">
      <w:pPr>
        <w:pStyle w:val="Default"/>
        <w:ind w:left="4410" w:hanging="4410"/>
      </w:pPr>
    </w:p>
    <w:p w14:paraId="1D79B857" w14:textId="77777777" w:rsidR="007160B3" w:rsidRPr="00CA5024" w:rsidRDefault="007160B3" w:rsidP="005B78DD">
      <w:pPr>
        <w:pStyle w:val="Default"/>
        <w:ind w:left="4410" w:hanging="4410"/>
      </w:pPr>
      <w:bookmarkStart w:id="1" w:name="_GoBack"/>
      <w:bookmarkEnd w:id="1"/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>
        <w:t>Person to person transmission has been observed</w:t>
      </w:r>
      <w:r w:rsidR="007160B3"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03F0" w14:textId="77777777" w:rsidR="002E5AA5" w:rsidRDefault="002E5AA5" w:rsidP="00016861">
      <w:r>
        <w:separator/>
      </w:r>
    </w:p>
  </w:endnote>
  <w:endnote w:type="continuationSeparator" w:id="0">
    <w:p w14:paraId="2BFC1696" w14:textId="77777777" w:rsidR="002E5AA5" w:rsidRDefault="002E5AA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B6BE" w14:textId="77777777" w:rsidR="002E5AA5" w:rsidRDefault="002E5AA5" w:rsidP="00016861">
      <w:r>
        <w:separator/>
      </w:r>
    </w:p>
  </w:footnote>
  <w:footnote w:type="continuationSeparator" w:id="0">
    <w:p w14:paraId="0E0A026B" w14:textId="77777777" w:rsidR="002E5AA5" w:rsidRDefault="002E5AA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40054970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Ovine </w:t>
    </w:r>
    <w:r w:rsidR="007160B3">
      <w:rPr>
        <w:b/>
        <w:color w:val="C00000"/>
        <w:sz w:val="48"/>
        <w:szCs w:val="28"/>
      </w:rPr>
      <w:t>Leptospirosis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E5AA5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1CC8-85C4-4644-A55D-8CF402D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2019-02-28T19:01:00Z</dcterms:created>
  <dcterms:modified xsi:type="dcterms:W3CDTF">2019-02-28T19:01:00Z</dcterms:modified>
</cp:coreProperties>
</file>