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4A43B0AD" w:rsidR="005B78DD" w:rsidRPr="00A662A4" w:rsidRDefault="005B78DD" w:rsidP="00FF0874">
      <w:pPr>
        <w:pStyle w:val="Default"/>
        <w:ind w:left="72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A662A4">
        <w:rPr>
          <w:i/>
        </w:rPr>
        <w:t>Salmonella</w:t>
      </w:r>
      <w:r w:rsidR="00093C5F" w:rsidRPr="00093C5F">
        <w:rPr>
          <w:i/>
        </w:rPr>
        <w:t xml:space="preserve"> </w:t>
      </w:r>
      <w:r w:rsidR="00093C5F" w:rsidRPr="00A662A4">
        <w:t>spp. bacteria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3B71C3D4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CA1BB7" w:rsidRPr="00CA1BB7">
        <w:t>Ingestion (fecal-oral); contaminated food and water; direct contact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05D49CB7" w14:textId="77777777" w:rsidR="00CA1BB7" w:rsidRDefault="005B78DD" w:rsidP="00CA1BB7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CA1BB7" w:rsidRPr="00CA1BB7">
        <w:t>Human: 12 hours-3 days</w:t>
      </w:r>
    </w:p>
    <w:p w14:paraId="272946AF" w14:textId="55AD3CB6" w:rsidR="002E60E2" w:rsidRDefault="00CA1BB7" w:rsidP="00CA1BB7">
      <w:pPr>
        <w:pStyle w:val="Default"/>
        <w:ind w:left="4320"/>
      </w:pPr>
      <w:r w:rsidRPr="00CA1BB7">
        <w:t>Animal: Highly variable; often symptoms do not appear until</w:t>
      </w:r>
      <w:r>
        <w:t xml:space="preserve"> </w:t>
      </w:r>
      <w:r w:rsidRPr="00CA1BB7">
        <w:t>the animal is stressed; common 1-5 days</w:t>
      </w:r>
    </w:p>
    <w:p w14:paraId="4E7D1706" w14:textId="77777777" w:rsidR="002E60E2" w:rsidRDefault="002E60E2" w:rsidP="002E60E2">
      <w:pPr>
        <w:pStyle w:val="Default"/>
        <w:tabs>
          <w:tab w:val="left" w:pos="4410"/>
        </w:tabs>
        <w:ind w:left="870"/>
      </w:pPr>
    </w:p>
    <w:p w14:paraId="1A38E582" w14:textId="09FBA373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CA1BB7" w:rsidRPr="00CA1BB7">
        <w:t>Varies from self-limiting gastroenteritis to generalized illness; vomiting; watery diarrhea; low grade fever; abdominal pain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59418823" w14:textId="38AA072E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CA1BB7" w:rsidRPr="00CA1BB7">
        <w:t>Generally seen in pigs 3wks-5months of age; rare in suckling pig; anorexia; fever; diarrhea; death; asymptomatic</w:t>
      </w:r>
      <w:r w:rsidR="00CA1BB7">
        <w:t xml:space="preserve"> </w:t>
      </w:r>
      <w:r w:rsidR="00CA1BB7" w:rsidRPr="00CA1BB7">
        <w:t>infections common</w:t>
      </w:r>
    </w:p>
    <w:p w14:paraId="42107B89" w14:textId="4FB04D0E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4CA893C" w14:textId="23031181" w:rsidR="00673647" w:rsidRDefault="005B78DD" w:rsidP="008A1B5C">
      <w:pPr>
        <w:pStyle w:val="Default"/>
        <w:ind w:left="4410" w:hanging="441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CA1BB7" w:rsidRPr="00CA1BB7">
        <w:t>Wash hands after contact with animal feces; wear protective clothing when working with diarrheic piglets; cook meat thoroughly</w:t>
      </w:r>
      <w:bookmarkStart w:id="1" w:name="_GoBack"/>
      <w:bookmarkEnd w:id="1"/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5B78DD">
      <w:pPr>
        <w:pStyle w:val="Default"/>
        <w:ind w:left="4410" w:hanging="4410"/>
      </w:pPr>
    </w:p>
    <w:p w14:paraId="0FCC8D49" w14:textId="5F81209F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 w:rsidRPr="00044037">
        <w:rPr>
          <w:rFonts w:ascii="Verdana" w:hAnsi="Verdana"/>
        </w:rPr>
        <w:t>Person to person transmission has been observed</w:t>
      </w:r>
      <w:r w:rsidR="007160B3" w:rsidRPr="00044037">
        <w:rPr>
          <w:rFonts w:ascii="Verdana" w:hAnsi="Verdana"/>
        </w:rPr>
        <w:t>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44BD" w14:textId="77777777" w:rsidR="00262EC3" w:rsidRDefault="00262EC3" w:rsidP="00016861">
      <w:r>
        <w:separator/>
      </w:r>
    </w:p>
  </w:endnote>
  <w:endnote w:type="continuationSeparator" w:id="0">
    <w:p w14:paraId="7FBF0E61" w14:textId="77777777" w:rsidR="00262EC3" w:rsidRDefault="00262EC3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F34E" w14:textId="77777777" w:rsidR="00262EC3" w:rsidRDefault="00262EC3" w:rsidP="00016861">
      <w:r>
        <w:separator/>
      </w:r>
    </w:p>
  </w:footnote>
  <w:footnote w:type="continuationSeparator" w:id="0">
    <w:p w14:paraId="462008DC" w14:textId="77777777" w:rsidR="00262EC3" w:rsidRDefault="00262EC3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5950F7D4" w:rsidR="002F7FA8" w:rsidRPr="005B78DD" w:rsidRDefault="00093C5F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>Porcine</w:t>
    </w:r>
    <w:r w:rsidR="0076084A">
      <w:rPr>
        <w:b/>
        <w:color w:val="C00000"/>
        <w:sz w:val="48"/>
        <w:szCs w:val="28"/>
      </w:rPr>
      <w:t xml:space="preserve"> </w:t>
    </w:r>
    <w:r w:rsidR="00CF0617">
      <w:rPr>
        <w:b/>
        <w:color w:val="C00000"/>
        <w:sz w:val="48"/>
        <w:szCs w:val="28"/>
      </w:rPr>
      <w:t>Salmonellosis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E2821"/>
    <w:rsid w:val="00161F0A"/>
    <w:rsid w:val="0017166D"/>
    <w:rsid w:val="001847EA"/>
    <w:rsid w:val="001B7963"/>
    <w:rsid w:val="00215550"/>
    <w:rsid w:val="00222715"/>
    <w:rsid w:val="002326B5"/>
    <w:rsid w:val="00262EC3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8A1B5C"/>
    <w:rsid w:val="009644F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2A4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9986-5296-44FC-A35A-051AFAE4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2019-02-28T19:55:00Z</dcterms:created>
  <dcterms:modified xsi:type="dcterms:W3CDTF">2019-02-28T19:55:00Z</dcterms:modified>
</cp:coreProperties>
</file>