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4E565F8D" w:rsidR="009B0FE6" w:rsidRDefault="009B0FE6" w:rsidP="00834032">
      <w:pPr>
        <w:pStyle w:val="Default"/>
        <w:ind w:left="4320" w:hanging="31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834032" w:rsidRPr="00834032">
        <w:t xml:space="preserve">Virus; (previously known as </w:t>
      </w:r>
      <w:proofErr w:type="spellStart"/>
      <w:r w:rsidR="00834032" w:rsidRPr="00834032">
        <w:t>Velogenic</w:t>
      </w:r>
      <w:proofErr w:type="spellEnd"/>
      <w:r w:rsidR="00834032" w:rsidRPr="00834032">
        <w:t xml:space="preserve"> Viscerotropic Newcastle Disease VVND)</w:t>
      </w:r>
    </w:p>
    <w:p w14:paraId="054FBBBA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</w:p>
    <w:p w14:paraId="5EE18BDC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</w:p>
    <w:p w14:paraId="0DBF6718" w14:textId="51D7DB6C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834032">
        <w:t>Direct contact with secretions, feces and objects capable of harboring virus; ingestion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65AE4799" w:rsidR="009B0FE6" w:rsidRDefault="009B0FE6" w:rsidP="008A3380">
      <w:pPr>
        <w:pStyle w:val="Default"/>
        <w:tabs>
          <w:tab w:val="left" w:pos="4410"/>
        </w:tabs>
        <w:ind w:left="5400" w:hanging="453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8A3380">
        <w:t>1-</w:t>
      </w:r>
      <w:r w:rsidR="00834032">
        <w:t>2 days</w:t>
      </w:r>
    </w:p>
    <w:p w14:paraId="129003D6" w14:textId="2F6F6D47" w:rsidR="00747DFF" w:rsidRDefault="00747DFF" w:rsidP="00747DFF">
      <w:pPr>
        <w:pStyle w:val="Default"/>
        <w:tabs>
          <w:tab w:val="left" w:pos="4410"/>
        </w:tabs>
        <w:ind w:left="4320"/>
      </w:pPr>
      <w:r w:rsidRPr="00747DFF">
        <w:rPr>
          <w:szCs w:val="32"/>
        </w:rPr>
        <w:t>Animals:</w:t>
      </w:r>
      <w:r w:rsidRPr="00747DFF">
        <w:rPr>
          <w:sz w:val="20"/>
        </w:rPr>
        <w:t xml:space="preserve"> </w:t>
      </w:r>
      <w:r w:rsidR="00834032">
        <w:t>2-15 days (average is 5-6 days)</w:t>
      </w:r>
    </w:p>
    <w:p w14:paraId="48CF47F3" w14:textId="77777777" w:rsidR="009B0FE6" w:rsidRPr="00C558BD" w:rsidRDefault="009B0FE6" w:rsidP="00B464DF">
      <w:pPr>
        <w:pStyle w:val="Default"/>
        <w:tabs>
          <w:tab w:val="left" w:pos="4410"/>
        </w:tabs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468FBF3C" w14:textId="1DF07606" w:rsidR="006C6903" w:rsidRDefault="009B0FE6" w:rsidP="00747DFF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834032">
        <w:t>Typically limited to conjunctivitis which often resolves quickly</w:t>
      </w:r>
    </w:p>
    <w:p w14:paraId="2FB33C31" w14:textId="46418AB8" w:rsidR="00B464DF" w:rsidRDefault="00B464DF" w:rsidP="009B0FE6">
      <w:pPr>
        <w:rPr>
          <w:rFonts w:ascii="Verdana" w:hAnsi="Verdana"/>
          <w:sz w:val="32"/>
          <w:szCs w:val="32"/>
        </w:rPr>
      </w:pPr>
    </w:p>
    <w:p w14:paraId="5B739D11" w14:textId="77777777" w:rsidR="00747DFF" w:rsidRPr="00C558BD" w:rsidRDefault="00747DFF" w:rsidP="009B0FE6">
      <w:pPr>
        <w:rPr>
          <w:rFonts w:ascii="Verdana" w:hAnsi="Verdana"/>
          <w:sz w:val="32"/>
          <w:szCs w:val="32"/>
        </w:rPr>
      </w:pPr>
    </w:p>
    <w:p w14:paraId="38D0F1B9" w14:textId="569D7E70" w:rsidR="009B0FE6" w:rsidRPr="00747DFF" w:rsidRDefault="009B0FE6" w:rsidP="00747DFF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834032">
        <w:t>Sudden onset of severe respiratory disease: sneezing, gasping for a</w:t>
      </w:r>
      <w:bookmarkStart w:id="0" w:name="_GoBack"/>
      <w:bookmarkEnd w:id="0"/>
      <w:r w:rsidR="00834032">
        <w:t>ir, coughing, and nasal discharge; depression; droopy wings; circling; drop in egg production; soft shelled eggs; death</w:t>
      </w:r>
    </w:p>
    <w:p w14:paraId="1730CD52" w14:textId="2C76F6BD" w:rsidR="00747DFF" w:rsidRDefault="00747DFF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AE47C43" w14:textId="77777777" w:rsidR="00E4082A" w:rsidRPr="00C558BD" w:rsidRDefault="00E4082A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40E8C373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834032">
        <w:t>Vaccinate flock</w:t>
      </w:r>
    </w:p>
    <w:p w14:paraId="45259352" w14:textId="0847324A" w:rsidR="006C6903" w:rsidRDefault="006C6903" w:rsidP="00747DFF">
      <w:pPr>
        <w:pStyle w:val="Default"/>
        <w:rPr>
          <w:sz w:val="32"/>
        </w:rPr>
      </w:pPr>
    </w:p>
    <w:p w14:paraId="2E60E407" w14:textId="77777777" w:rsidR="00747DFF" w:rsidRPr="00C558BD" w:rsidRDefault="00747DFF" w:rsidP="00747DFF">
      <w:pPr>
        <w:pStyle w:val="Default"/>
        <w:rPr>
          <w:sz w:val="32"/>
        </w:rPr>
      </w:pPr>
    </w:p>
    <w:p w14:paraId="7D0BF453" w14:textId="7419BD38" w:rsidR="00CF4567" w:rsidRPr="00C909A8" w:rsidRDefault="009B0FE6" w:rsidP="00FD4970">
      <w:pPr>
        <w:ind w:left="4320" w:hanging="207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8A3380">
        <w:rPr>
          <w:rFonts w:ascii="Verdana" w:hAnsi="Verdana"/>
          <w:szCs w:val="32"/>
        </w:rPr>
        <w:t xml:space="preserve">Person to person transmission </w:t>
      </w:r>
      <w:r w:rsidR="00834032">
        <w:rPr>
          <w:rFonts w:ascii="Verdana" w:hAnsi="Verdana"/>
          <w:szCs w:val="32"/>
        </w:rPr>
        <w:t>is rare.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CD81" w14:textId="77777777" w:rsidR="008D4C4E" w:rsidRDefault="008D4C4E" w:rsidP="00016861">
      <w:r>
        <w:separator/>
      </w:r>
    </w:p>
  </w:endnote>
  <w:endnote w:type="continuationSeparator" w:id="0">
    <w:p w14:paraId="10539106" w14:textId="77777777" w:rsidR="008D4C4E" w:rsidRDefault="008D4C4E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95F64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C612" w14:textId="77777777" w:rsidR="008D4C4E" w:rsidRDefault="008D4C4E" w:rsidP="00016861">
      <w:r>
        <w:separator/>
      </w:r>
    </w:p>
  </w:footnote>
  <w:footnote w:type="continuationSeparator" w:id="0">
    <w:p w14:paraId="6ACD3AC3" w14:textId="77777777" w:rsidR="008D4C4E" w:rsidRDefault="008D4C4E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4AFB0276" w:rsidR="002F7FA8" w:rsidRPr="002A1F8B" w:rsidRDefault="00FD497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>Poultry</w:t>
    </w:r>
    <w:r w:rsidR="00CD298C">
      <w:rPr>
        <w:b/>
        <w:color w:val="C00000"/>
        <w:sz w:val="44"/>
        <w:szCs w:val="28"/>
      </w:rPr>
      <w:t xml:space="preserve"> </w:t>
    </w:r>
    <w:r w:rsidR="00834032">
      <w:rPr>
        <w:b/>
        <w:color w:val="C00000"/>
        <w:sz w:val="44"/>
        <w:szCs w:val="28"/>
      </w:rPr>
      <w:t>Newcastle Disease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4767E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148C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47DFF"/>
    <w:rsid w:val="00767A20"/>
    <w:rsid w:val="007B3593"/>
    <w:rsid w:val="007B43DF"/>
    <w:rsid w:val="007E792A"/>
    <w:rsid w:val="00834032"/>
    <w:rsid w:val="0086207E"/>
    <w:rsid w:val="008A3380"/>
    <w:rsid w:val="008D4C4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464DF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909A8"/>
    <w:rsid w:val="00CD298C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4082A"/>
    <w:rsid w:val="00E54332"/>
    <w:rsid w:val="00E57CEE"/>
    <w:rsid w:val="00EA4875"/>
    <w:rsid w:val="00EB39A4"/>
    <w:rsid w:val="00F20897"/>
    <w:rsid w:val="00F42EF6"/>
    <w:rsid w:val="00FA2DA9"/>
    <w:rsid w:val="00FD4970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2019-03-05T15:18:00Z</dcterms:created>
  <dcterms:modified xsi:type="dcterms:W3CDTF">2019-03-05T15:18:00Z</dcterms:modified>
</cp:coreProperties>
</file>